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15393" w14:textId="77777777" w:rsidR="00793BA4" w:rsidRDefault="008C3031">
      <w:r>
        <w:rPr>
          <w:noProof/>
        </w:rPr>
        <w:drawing>
          <wp:inline distT="0" distB="0" distL="0" distR="0" wp14:anchorId="59B72DA3" wp14:editId="635E9989">
            <wp:extent cx="4962525" cy="49625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496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4002C5" w14:textId="5985FC30" w:rsidR="008C3031" w:rsidRPr="008C3031" w:rsidRDefault="008C3031" w:rsidP="008C3031">
      <w:pPr>
        <w:jc w:val="both"/>
        <w:rPr>
          <w:rFonts w:ascii="Times New Roman" w:hAnsi="Times New Roman" w:cs="Times New Roman"/>
          <w:lang w:val="en-US"/>
        </w:rPr>
      </w:pPr>
      <w:r w:rsidRPr="008C3031">
        <w:rPr>
          <w:rFonts w:ascii="Times New Roman" w:hAnsi="Times New Roman" w:cs="Times New Roman"/>
          <w:sz w:val="24"/>
          <w:szCs w:val="24"/>
          <w:lang w:val="en-US"/>
        </w:rPr>
        <w:t>Figure S</w:t>
      </w:r>
      <w:r w:rsidR="00725E68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8C3031">
        <w:rPr>
          <w:rFonts w:ascii="Times New Roman" w:hAnsi="Times New Roman" w:cs="Times New Roman"/>
          <w:sz w:val="24"/>
          <w:szCs w:val="24"/>
          <w:lang w:val="en-US"/>
        </w:rPr>
        <w:t>. IgG subclasses in COVID-19 patients with different disease outcome. (a). Anti-spike IgG subclasses. (b). IgG to N-protein subclasses.</w:t>
      </w:r>
    </w:p>
    <w:sectPr w:rsidR="008C3031" w:rsidRPr="008C30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031"/>
    <w:rsid w:val="00725E68"/>
    <w:rsid w:val="00793BA4"/>
    <w:rsid w:val="008C3031"/>
    <w:rsid w:val="00A12E1F"/>
    <w:rsid w:val="00E3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C0A3C"/>
  <w15:chartTrackingRefBased/>
  <w15:docId w15:val="{3837C7D3-8038-4D52-B7A6-2FE7DC8BC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Yulia Desheva</cp:lastModifiedBy>
  <cp:revision>2</cp:revision>
  <dcterms:created xsi:type="dcterms:W3CDTF">2023-11-17T19:04:00Z</dcterms:created>
  <dcterms:modified xsi:type="dcterms:W3CDTF">2023-12-15T22:05:00Z</dcterms:modified>
</cp:coreProperties>
</file>